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E9DB8" w14:textId="77777777" w:rsidR="00881153" w:rsidRPr="00916AE6" w:rsidRDefault="00881153" w:rsidP="00881153">
      <w:pPr>
        <w:jc w:val="center"/>
        <w:rPr>
          <w:rFonts w:ascii="HanziPen TC" w:eastAsia="HanziPen TC" w:hAnsi="HanziPen TC"/>
          <w:sz w:val="96"/>
          <w:szCs w:val="96"/>
        </w:rPr>
      </w:pPr>
      <w:r w:rsidRPr="00916AE6">
        <w:rPr>
          <w:rFonts w:ascii="HanziPen TC" w:eastAsia="HanziPen TC" w:hAnsi="HanziPen TC"/>
          <w:sz w:val="96"/>
          <w:szCs w:val="96"/>
        </w:rPr>
        <w:t>清邁語言中心</w:t>
      </w:r>
    </w:p>
    <w:p w14:paraId="54555C0E" w14:textId="77777777" w:rsidR="00881153" w:rsidRPr="00916AE6" w:rsidRDefault="00881153" w:rsidP="00881153">
      <w:pPr>
        <w:jc w:val="center"/>
        <w:rPr>
          <w:rFonts w:ascii="HanziPen TC" w:eastAsia="HanziPen TC" w:hAnsi="HanziPen TC"/>
          <w:sz w:val="96"/>
          <w:szCs w:val="96"/>
        </w:rPr>
      </w:pPr>
      <w:r w:rsidRPr="00916AE6">
        <w:rPr>
          <w:rFonts w:ascii="HanziPen TC" w:eastAsia="HanziPen TC" w:hAnsi="HanziPen TC"/>
          <w:sz w:val="96"/>
          <w:szCs w:val="96"/>
        </w:rPr>
        <w:t xml:space="preserve">設立計畫 </w:t>
      </w:r>
    </w:p>
    <w:p w14:paraId="69B9787A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96"/>
          <w:szCs w:val="96"/>
        </w:rPr>
      </w:pPr>
      <w:r w:rsidRPr="00916AE6">
        <w:rPr>
          <w:rFonts w:ascii="HanziPen TC" w:eastAsia="HanziPen TC" w:hAnsi="HanziPen TC" w:hint="eastAsia"/>
          <w:i/>
          <w:sz w:val="96"/>
          <w:szCs w:val="96"/>
        </w:rPr>
        <w:t>第七組</w:t>
      </w:r>
      <w:r w:rsidRPr="00916AE6">
        <w:rPr>
          <w:rFonts w:ascii="HanziPen TC" w:eastAsia="HanziPen TC" w:hAnsi="HanziPen TC"/>
          <w:i/>
          <w:sz w:val="96"/>
          <w:szCs w:val="96"/>
        </w:rPr>
        <w:t xml:space="preserve"> </w:t>
      </w:r>
    </w:p>
    <w:p w14:paraId="0B4FC6AD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華語</w:t>
      </w:r>
      <w:r w:rsidRPr="00916AE6">
        <w:rPr>
          <w:rFonts w:ascii="HanziPen TC" w:eastAsia="HanziPen TC" w:hAnsi="HanziPen TC"/>
          <w:i/>
          <w:sz w:val="44"/>
          <w:szCs w:val="44"/>
        </w:rPr>
        <w:t>108徐婕芯</w:t>
      </w:r>
    </w:p>
    <w:p w14:paraId="0E8592F9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華語</w:t>
      </w:r>
      <w:r w:rsidRPr="00916AE6">
        <w:rPr>
          <w:rFonts w:ascii="HanziPen TC" w:eastAsia="HanziPen TC" w:hAnsi="HanziPen TC"/>
          <w:i/>
          <w:sz w:val="44"/>
          <w:szCs w:val="44"/>
        </w:rPr>
        <w:t>108</w:t>
      </w:r>
      <w:r w:rsidRPr="00916AE6">
        <w:rPr>
          <w:rFonts w:ascii="HanziPen TC" w:eastAsia="HanziPen TC" w:hAnsi="HanziPen TC" w:hint="eastAsia"/>
          <w:i/>
          <w:sz w:val="44"/>
          <w:szCs w:val="44"/>
        </w:rPr>
        <w:t>黃家萱</w:t>
      </w:r>
    </w:p>
    <w:p w14:paraId="35640FCF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華語</w:t>
      </w:r>
      <w:r w:rsidRPr="00916AE6">
        <w:rPr>
          <w:rFonts w:ascii="HanziPen TC" w:eastAsia="HanziPen TC" w:hAnsi="HanziPen TC"/>
          <w:i/>
          <w:sz w:val="44"/>
          <w:szCs w:val="44"/>
        </w:rPr>
        <w:t>108</w:t>
      </w:r>
      <w:r w:rsidRPr="00916AE6">
        <w:rPr>
          <w:rFonts w:ascii="HanziPen TC" w:eastAsia="HanziPen TC" w:hAnsi="HanziPen TC" w:hint="eastAsia"/>
          <w:i/>
          <w:sz w:val="44"/>
          <w:szCs w:val="44"/>
        </w:rPr>
        <w:t>施睿庭</w:t>
      </w:r>
    </w:p>
    <w:p w14:paraId="5ABF3843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華語</w:t>
      </w:r>
      <w:r w:rsidRPr="00916AE6">
        <w:rPr>
          <w:rFonts w:ascii="HanziPen TC" w:eastAsia="HanziPen TC" w:hAnsi="HanziPen TC"/>
          <w:i/>
          <w:sz w:val="44"/>
          <w:szCs w:val="44"/>
        </w:rPr>
        <w:t>108</w:t>
      </w:r>
      <w:r w:rsidRPr="00916AE6">
        <w:rPr>
          <w:rFonts w:ascii="HanziPen TC" w:eastAsia="HanziPen TC" w:hAnsi="HanziPen TC" w:hint="eastAsia"/>
          <w:i/>
          <w:sz w:val="44"/>
          <w:szCs w:val="44"/>
        </w:rPr>
        <w:t>巫允</w:t>
      </w:r>
      <w:r w:rsidRPr="00916AE6">
        <w:rPr>
          <w:rFonts w:ascii="HanziPen TC" w:eastAsia="HanziPen TC" w:hAnsi="HanziPen TC"/>
          <w:i/>
          <w:sz w:val="44"/>
          <w:szCs w:val="44"/>
        </w:rPr>
        <w:t>中</w:t>
      </w:r>
    </w:p>
    <w:p w14:paraId="74DE47CA" w14:textId="77777777" w:rsidR="00881153" w:rsidRPr="00916AE6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體育</w:t>
      </w:r>
      <w:r w:rsidRPr="00916AE6">
        <w:rPr>
          <w:rFonts w:ascii="HanziPen TC" w:eastAsia="HanziPen TC" w:hAnsi="HanziPen TC"/>
          <w:i/>
          <w:sz w:val="44"/>
          <w:szCs w:val="44"/>
        </w:rPr>
        <w:t>108</w:t>
      </w:r>
      <w:r w:rsidRPr="00916AE6">
        <w:rPr>
          <w:rFonts w:ascii="HanziPen TC" w:eastAsia="HanziPen TC" w:hAnsi="HanziPen TC" w:hint="eastAsia"/>
          <w:i/>
          <w:sz w:val="44"/>
          <w:szCs w:val="44"/>
        </w:rPr>
        <w:t>胡</w:t>
      </w:r>
      <w:r w:rsidRPr="00916AE6">
        <w:rPr>
          <w:rFonts w:ascii="HanziPen TC" w:eastAsia="HanziPen TC" w:hAnsi="HanziPen TC"/>
          <w:i/>
          <w:sz w:val="44"/>
          <w:szCs w:val="44"/>
        </w:rPr>
        <w:t>家瑞</w:t>
      </w:r>
    </w:p>
    <w:p w14:paraId="0E750E57" w14:textId="77777777" w:rsidR="00881153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</w:p>
    <w:p w14:paraId="3BB3E01F" w14:textId="77777777" w:rsidR="00881153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  <w:r>
        <w:rPr>
          <w:rFonts w:ascii="HanziPen TC" w:eastAsia="HanziPen TC" w:hAnsi="HanziPen TC" w:hint="eastAsia"/>
          <w:i/>
          <w:sz w:val="44"/>
          <w:szCs w:val="44"/>
        </w:rPr>
        <w:lastRenderedPageBreak/>
        <w:t>目錄</w:t>
      </w:r>
    </w:p>
    <w:p w14:paraId="7EA9C7CB" w14:textId="77777777" w:rsidR="00881153" w:rsidRPr="00916AE6" w:rsidRDefault="00881153" w:rsidP="00881153">
      <w:pPr>
        <w:pStyle w:val="a5"/>
        <w:numPr>
          <w:ilvl w:val="0"/>
          <w:numId w:val="4"/>
        </w:numPr>
        <w:ind w:leftChars="0"/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/>
          <w:i/>
          <w:sz w:val="44"/>
          <w:szCs w:val="44"/>
        </w:rPr>
        <w:t>設立</w:t>
      </w:r>
      <w:r w:rsidRPr="00916AE6">
        <w:rPr>
          <w:rFonts w:ascii="HanziPen TC" w:eastAsia="HanziPen TC" w:hAnsi="HanziPen TC" w:hint="eastAsia"/>
          <w:i/>
          <w:sz w:val="44"/>
          <w:szCs w:val="44"/>
        </w:rPr>
        <w:t>動機</w:t>
      </w:r>
    </w:p>
    <w:p w14:paraId="5262C256" w14:textId="77777777" w:rsidR="00881153" w:rsidRPr="00916AE6" w:rsidRDefault="00881153" w:rsidP="00881153">
      <w:pPr>
        <w:pStyle w:val="a5"/>
        <w:numPr>
          <w:ilvl w:val="0"/>
          <w:numId w:val="4"/>
        </w:numPr>
        <w:ind w:leftChars="0"/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/>
          <w:i/>
          <w:sz w:val="44"/>
          <w:szCs w:val="44"/>
        </w:rPr>
        <w:t>成本預算</w:t>
      </w:r>
    </w:p>
    <w:p w14:paraId="31C6465E" w14:textId="77777777" w:rsidR="00881153" w:rsidRPr="00916AE6" w:rsidRDefault="00881153" w:rsidP="00881153">
      <w:pPr>
        <w:pStyle w:val="a5"/>
        <w:numPr>
          <w:ilvl w:val="0"/>
          <w:numId w:val="4"/>
        </w:numPr>
        <w:ind w:leftChars="0"/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預估收入</w:t>
      </w:r>
    </w:p>
    <w:p w14:paraId="1E8657EC" w14:textId="77777777" w:rsidR="00881153" w:rsidRPr="00916AE6" w:rsidRDefault="00881153" w:rsidP="00881153">
      <w:pPr>
        <w:pStyle w:val="a5"/>
        <w:numPr>
          <w:ilvl w:val="0"/>
          <w:numId w:val="4"/>
        </w:numPr>
        <w:ind w:leftChars="0"/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開班制度</w:t>
      </w:r>
    </w:p>
    <w:p w14:paraId="22E7AF0F" w14:textId="77777777" w:rsidR="00881153" w:rsidRPr="00916AE6" w:rsidRDefault="00881153" w:rsidP="00881153">
      <w:pPr>
        <w:pStyle w:val="a5"/>
        <w:numPr>
          <w:ilvl w:val="0"/>
          <w:numId w:val="4"/>
        </w:numPr>
        <w:ind w:leftChars="0"/>
        <w:jc w:val="center"/>
        <w:rPr>
          <w:rFonts w:ascii="HanziPen TC" w:eastAsia="HanziPen TC" w:hAnsi="HanziPen TC"/>
          <w:i/>
          <w:sz w:val="44"/>
          <w:szCs w:val="44"/>
        </w:rPr>
      </w:pPr>
      <w:r w:rsidRPr="00916AE6">
        <w:rPr>
          <w:rFonts w:ascii="HanziPen TC" w:eastAsia="HanziPen TC" w:hAnsi="HanziPen TC" w:hint="eastAsia"/>
          <w:i/>
          <w:sz w:val="44"/>
          <w:szCs w:val="44"/>
        </w:rPr>
        <w:t>目標</w:t>
      </w:r>
      <w:r w:rsidRPr="00916AE6">
        <w:rPr>
          <w:rFonts w:ascii="HanziPen TC" w:eastAsia="HanziPen TC" w:hAnsi="HanziPen TC"/>
          <w:i/>
          <w:sz w:val="44"/>
          <w:szCs w:val="44"/>
        </w:rPr>
        <w:t>教學內容</w:t>
      </w:r>
    </w:p>
    <w:p w14:paraId="2D33A060" w14:textId="77777777" w:rsidR="00881153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</w:p>
    <w:p w14:paraId="309C591E" w14:textId="77777777" w:rsidR="00881153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</w:p>
    <w:p w14:paraId="7913B05B" w14:textId="77777777" w:rsidR="00881153" w:rsidRDefault="00881153" w:rsidP="00881153">
      <w:pPr>
        <w:jc w:val="center"/>
        <w:rPr>
          <w:rFonts w:ascii="HanziPen TC" w:eastAsia="HanziPen TC" w:hAnsi="HanziPen TC"/>
          <w:i/>
          <w:sz w:val="44"/>
          <w:szCs w:val="44"/>
        </w:rPr>
      </w:pPr>
    </w:p>
    <w:p w14:paraId="15841F43" w14:textId="77777777" w:rsidR="00881153" w:rsidRDefault="00881153" w:rsidP="00881153">
      <w:pPr>
        <w:rPr>
          <w:rFonts w:ascii="HanziPen TC" w:eastAsia="HanziPen TC" w:hAnsi="HanziPen TC" w:hint="eastAsia"/>
          <w:i/>
          <w:szCs w:val="96"/>
        </w:rPr>
      </w:pPr>
    </w:p>
    <w:p w14:paraId="08B00CCF" w14:textId="77777777" w:rsidR="00881153" w:rsidRDefault="00881153" w:rsidP="00881153">
      <w:pPr>
        <w:rPr>
          <w:rFonts w:ascii="HanziPen TC" w:eastAsia="HanziPen TC" w:hAnsi="HanziPen TC" w:hint="eastAsia"/>
          <w:i/>
          <w:szCs w:val="96"/>
        </w:rPr>
      </w:pPr>
    </w:p>
    <w:p w14:paraId="64E80EE7" w14:textId="77777777" w:rsidR="00881153" w:rsidRDefault="00881153" w:rsidP="00881153">
      <w:pPr>
        <w:rPr>
          <w:rFonts w:ascii="HanziPen TC" w:eastAsia="HanziPen TC" w:hAnsi="HanziPen TC" w:hint="eastAsia"/>
          <w:i/>
          <w:szCs w:val="96"/>
        </w:rPr>
      </w:pPr>
    </w:p>
    <w:p w14:paraId="3590AC7B" w14:textId="77777777" w:rsidR="00881153" w:rsidRPr="00881153" w:rsidRDefault="00881153" w:rsidP="00881153">
      <w:pPr>
        <w:jc w:val="center"/>
        <w:rPr>
          <w:rFonts w:ascii="HanziPen TC" w:eastAsia="HanziPen TC" w:hAnsi="HanziPen TC" w:hint="eastAsia"/>
          <w:i/>
          <w:szCs w:val="96"/>
        </w:rPr>
      </w:pPr>
    </w:p>
    <w:p w14:paraId="157E6B94" w14:textId="646363A6" w:rsidR="00BA07E4" w:rsidRDefault="00881153" w:rsidP="008811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bookmarkStart w:id="0" w:name="_GoBack"/>
      <w:bookmarkEnd w:id="0"/>
      <w:r w:rsidR="00916AE6">
        <w:rPr>
          <w:rFonts w:hint="eastAsia"/>
          <w:b/>
          <w:sz w:val="28"/>
          <w:szCs w:val="28"/>
        </w:rPr>
        <w:t>設立</w:t>
      </w:r>
      <w:r w:rsidR="00BA07E4" w:rsidRPr="00BA07E4">
        <w:rPr>
          <w:rFonts w:hint="eastAsia"/>
          <w:b/>
          <w:sz w:val="28"/>
          <w:szCs w:val="28"/>
        </w:rPr>
        <w:t>動機</w:t>
      </w:r>
    </w:p>
    <w:p w14:paraId="7F8BCB1D" w14:textId="77777777" w:rsidR="00F07CC9" w:rsidRPr="00BA07E4" w:rsidRDefault="00F07CC9" w:rsidP="00BA07E4">
      <w:pPr>
        <w:jc w:val="center"/>
        <w:rPr>
          <w:b/>
          <w:sz w:val="28"/>
          <w:szCs w:val="28"/>
        </w:rPr>
      </w:pPr>
    </w:p>
    <w:p w14:paraId="09EADA1C" w14:textId="77777777" w:rsidR="00BA07E4" w:rsidRDefault="00BA07E4" w:rsidP="00BA07E4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由於中國人口與市場近年來的迅速崛起，世界各地對於華語文教育的需求可說是急劇上升。相對於歐美市場，尤其是美國東岸、西岸地區，已經擁有的大量且完善的華語文教學企業與師資，東南亞的華語文教育機構更為匱乏。</w:t>
      </w:r>
    </w:p>
    <w:p w14:paraId="11BE1B3F" w14:textId="77777777" w:rsidR="00BA07E4" w:rsidRDefault="00BA07E4" w:rsidP="00BA07E4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泰北清邁除了在地域上更接近中國，文化上更與中國文化具備連結性，並且在泰北華文屬於國民教育的一環，但更重要的是，東南亞已儼然成為繼中國之後最有發展潛力的經濟貿易體，而這除了使清邁學習華語的人口年年增長，也讓我們希望將華語文教學中心設立於泰北的目標更為明確。</w:t>
      </w:r>
    </w:p>
    <w:p w14:paraId="452806C5" w14:textId="77777777" w:rsidR="00BA07E4" w:rsidRPr="001A02C5" w:rsidRDefault="00BA07E4" w:rsidP="00BA07E4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雖然</w:t>
      </w:r>
      <w:r w:rsidRPr="001A02C5">
        <w:rPr>
          <w:rFonts w:hint="eastAsia"/>
        </w:rPr>
        <w:t>泰北地區的泰國小學到高中都設置有華文課程</w:t>
      </w:r>
      <w:r>
        <w:rPr>
          <w:rFonts w:hint="eastAsia"/>
        </w:rPr>
        <w:t>，但是</w:t>
      </w:r>
      <w:r w:rsidRPr="001A02C5">
        <w:rPr>
          <w:rFonts w:hint="eastAsia"/>
        </w:rPr>
        <w:t>各學校的</w:t>
      </w:r>
      <w:r>
        <w:rPr>
          <w:rFonts w:hint="eastAsia"/>
        </w:rPr>
        <w:t>華文教材則是各不相同，水準參差不齊，往往出現中小學難以銜接的情況，並且學生程度大多數只座落於</w:t>
      </w:r>
      <w:r w:rsidRPr="001A02C5">
        <w:rPr>
          <w:rFonts w:hint="eastAsia"/>
        </w:rPr>
        <w:t>中國漢語水平考試</w:t>
      </w:r>
      <w:r>
        <w:t>(HSK)</w:t>
      </w:r>
      <w:r>
        <w:rPr>
          <w:rFonts w:hint="eastAsia"/>
        </w:rPr>
        <w:t>初級到中級的水平，這令我們更堅定了必須在清邁設立華語文教學中心的決心。</w:t>
      </w:r>
    </w:p>
    <w:p w14:paraId="2B9886F7" w14:textId="77777777" w:rsidR="00BA07E4" w:rsidRDefault="00BA07E4" w:rsidP="00BA07E4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我們期望以符合泰北物價的價格，設立一座專屬於清邁民眾需求的華語文教學中心，我們的學生除了能在機構中學習到專業、考試專用的華語文之外，更能夠以合理的價格享受到優質的客製化教學服務，並且搭配上正統繁體字的教學系統與台灣的菁英師資人馬，使我們機構的學生學習華語文更到位，更有別於泰北地區已設立的華語文教學機構。</w:t>
      </w:r>
    </w:p>
    <w:p w14:paraId="715CB5BE" w14:textId="77777777" w:rsidR="006E149B" w:rsidRDefault="006E149B" w:rsidP="006E149B">
      <w:pPr>
        <w:widowControl/>
      </w:pPr>
      <w:r>
        <w:rPr>
          <w:rFonts w:hint="eastAsia"/>
        </w:rPr>
        <w:t>參考資料：</w:t>
      </w:r>
      <w:r>
        <w:t xml:space="preserve"> </w:t>
      </w:r>
    </w:p>
    <w:p w14:paraId="2F83524E" w14:textId="0CB538A8" w:rsidR="006E149B" w:rsidRPr="006E149B" w:rsidRDefault="00881153" w:rsidP="006E149B">
      <w:pPr>
        <w:pStyle w:val="a5"/>
        <w:widowControl/>
        <w:numPr>
          <w:ilvl w:val="0"/>
          <w:numId w:val="3"/>
        </w:numPr>
        <w:ind w:leftChars="0"/>
        <w:rPr>
          <w:rStyle w:val="a4"/>
          <w:color w:val="auto"/>
          <w:u w:val="none"/>
        </w:rPr>
      </w:pPr>
      <w:hyperlink r:id="rId5" w:history="1">
        <w:r w:rsidR="006E149B" w:rsidRPr="009E02B6">
          <w:rPr>
            <w:rStyle w:val="a4"/>
          </w:rPr>
          <w:t>http://overseaschinese2008.blogspot.com/2009/03/blog-post_7554.html</w:t>
        </w:r>
      </w:hyperlink>
    </w:p>
    <w:p w14:paraId="7BB2E262" w14:textId="589BAA80" w:rsidR="006E149B" w:rsidRDefault="00881153" w:rsidP="006E149B">
      <w:pPr>
        <w:pStyle w:val="a5"/>
        <w:widowControl/>
        <w:numPr>
          <w:ilvl w:val="0"/>
          <w:numId w:val="3"/>
        </w:numPr>
        <w:ind w:leftChars="0"/>
      </w:pPr>
      <w:hyperlink r:id="rId6" w:history="1">
        <w:r w:rsidR="006E149B" w:rsidRPr="009C4311">
          <w:rPr>
            <w:rStyle w:val="a4"/>
          </w:rPr>
          <w:t>https://depart.moe.edu.tw/ED2500/cp.aspx?n=985B0E34256FDC9E&amp;s=3146119524BF3BF9</w:t>
        </w:r>
      </w:hyperlink>
    </w:p>
    <w:p w14:paraId="66E8C671" w14:textId="6501DCC1" w:rsidR="006E149B" w:rsidRDefault="006E149B" w:rsidP="006E149B">
      <w:pPr>
        <w:pStyle w:val="a5"/>
        <w:widowControl/>
        <w:numPr>
          <w:ilvl w:val="0"/>
          <w:numId w:val="3"/>
        </w:numPr>
        <w:ind w:leftChars="0"/>
      </w:pPr>
      <w:r>
        <w:t>106</w:t>
      </w:r>
      <w:r>
        <w:t>華語生研究統計（按國別）</w:t>
      </w:r>
    </w:p>
    <w:p w14:paraId="7297401B" w14:textId="77777777" w:rsidR="006E149B" w:rsidRDefault="006E149B" w:rsidP="00BA07E4">
      <w:pPr>
        <w:widowControl/>
      </w:pPr>
    </w:p>
    <w:p w14:paraId="35F75C42" w14:textId="1CBB3CDF" w:rsidR="00FC3660" w:rsidRDefault="00881153" w:rsidP="00732D9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1990" w:tblpY="2185"/>
        <w:tblW w:w="0" w:type="auto"/>
        <w:tblLook w:val="04A0" w:firstRow="1" w:lastRow="0" w:firstColumn="1" w:lastColumn="0" w:noHBand="0" w:noVBand="1"/>
      </w:tblPr>
      <w:tblGrid>
        <w:gridCol w:w="1265"/>
        <w:gridCol w:w="7025"/>
      </w:tblGrid>
      <w:tr w:rsidR="00BA07E4" w14:paraId="7BABE88D" w14:textId="77777777" w:rsidTr="00BA07E4">
        <w:tc>
          <w:tcPr>
            <w:tcW w:w="1265" w:type="dxa"/>
          </w:tcPr>
          <w:p w14:paraId="2CC237F9" w14:textId="77777777" w:rsidR="00BA07E4" w:rsidRDefault="00BA07E4" w:rsidP="00BA07E4">
            <w:r>
              <w:rPr>
                <w:rFonts w:hint="eastAsia"/>
              </w:rPr>
              <w:t>預算項目</w:t>
            </w:r>
          </w:p>
        </w:tc>
        <w:tc>
          <w:tcPr>
            <w:tcW w:w="7025" w:type="dxa"/>
          </w:tcPr>
          <w:p w14:paraId="31EA1171" w14:textId="77777777" w:rsidR="00BA07E4" w:rsidRDefault="00BA07E4" w:rsidP="00BA07E4">
            <w:r>
              <w:rPr>
                <w:rFonts w:hint="eastAsia"/>
              </w:rPr>
              <w:t>金額</w:t>
            </w:r>
          </w:p>
        </w:tc>
      </w:tr>
      <w:tr w:rsidR="00BA07E4" w:rsidRPr="00311BC2" w14:paraId="3A510A28" w14:textId="77777777" w:rsidTr="00BA07E4">
        <w:tc>
          <w:tcPr>
            <w:tcW w:w="1265" w:type="dxa"/>
          </w:tcPr>
          <w:p w14:paraId="0D055486" w14:textId="77777777" w:rsidR="00BA07E4" w:rsidRDefault="00BA07E4" w:rsidP="00BA07E4">
            <w:r>
              <w:rPr>
                <w:rFonts w:hint="eastAsia"/>
              </w:rPr>
              <w:t>申請登記</w:t>
            </w:r>
          </w:p>
        </w:tc>
        <w:tc>
          <w:tcPr>
            <w:tcW w:w="7025" w:type="dxa"/>
          </w:tcPr>
          <w:p w14:paraId="2088505B" w14:textId="77777777" w:rsidR="00BA07E4" w:rsidRDefault="00BA07E4" w:rsidP="00BA07E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萬泰銖</w:t>
            </w:r>
          </w:p>
          <w:p w14:paraId="287F64F6" w14:textId="77777777" w:rsidR="00BA07E4" w:rsidRPr="00311BC2" w:rsidRDefault="00BA07E4" w:rsidP="00BA07E4">
            <w:r>
              <w:rPr>
                <w:rFonts w:hint="eastAsia"/>
              </w:rPr>
              <w:t>參考網址：</w:t>
            </w:r>
            <w:hyperlink r:id="rId7" w:history="1">
              <w:r w:rsidRPr="00401006">
                <w:rPr>
                  <w:rStyle w:val="a4"/>
                </w:rPr>
                <w:t>https://reurl.cc/DgZGN</w:t>
              </w:r>
            </w:hyperlink>
          </w:p>
        </w:tc>
      </w:tr>
      <w:tr w:rsidR="00BA07E4" w:rsidRPr="00C6031B" w14:paraId="745500CC" w14:textId="77777777" w:rsidTr="00BA07E4">
        <w:tc>
          <w:tcPr>
            <w:tcW w:w="1265" w:type="dxa"/>
          </w:tcPr>
          <w:p w14:paraId="51FF83BC" w14:textId="77777777" w:rsidR="00BA07E4" w:rsidRDefault="00BA07E4" w:rsidP="00BA07E4">
            <w:r>
              <w:rPr>
                <w:rFonts w:hint="eastAsia"/>
              </w:rPr>
              <w:t>房租</w:t>
            </w:r>
          </w:p>
        </w:tc>
        <w:tc>
          <w:tcPr>
            <w:tcW w:w="7025" w:type="dxa"/>
          </w:tcPr>
          <w:p w14:paraId="526DB004" w14:textId="77777777" w:rsidR="00BA07E4" w:rsidRDefault="00BA07E4" w:rsidP="00BA07E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萬泰銖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14:paraId="550678CC" w14:textId="77777777" w:rsidR="00BA07E4" w:rsidRPr="00C6031B" w:rsidRDefault="00BA07E4" w:rsidP="00BA07E4">
            <w:r>
              <w:rPr>
                <w:rFonts w:hint="eastAsia"/>
              </w:rPr>
              <w:t>參考網址：</w:t>
            </w:r>
            <w:hyperlink r:id="rId8" w:history="1">
              <w:r w:rsidRPr="00401006">
                <w:rPr>
                  <w:rStyle w:val="a4"/>
                </w:rPr>
                <w:t>http://g.58.com/j-glchiangmai/glxiezilou/33642346949633.html?PGTID=0d00ecdd-05fb-e6f8-04ee-e8a95f516126&amp;ClickID=1</w:t>
              </w:r>
            </w:hyperlink>
          </w:p>
        </w:tc>
      </w:tr>
      <w:tr w:rsidR="00BA07E4" w14:paraId="21AFFEE8" w14:textId="77777777" w:rsidTr="00BA07E4">
        <w:tc>
          <w:tcPr>
            <w:tcW w:w="1265" w:type="dxa"/>
          </w:tcPr>
          <w:p w14:paraId="7C0C9861" w14:textId="77777777" w:rsidR="00BA07E4" w:rsidRPr="00C6031B" w:rsidRDefault="00BA07E4" w:rsidP="00BA07E4">
            <w:r>
              <w:rPr>
                <w:rFonts w:hint="eastAsia"/>
              </w:rPr>
              <w:t>裝潢</w:t>
            </w:r>
          </w:p>
        </w:tc>
        <w:tc>
          <w:tcPr>
            <w:tcW w:w="7025" w:type="dxa"/>
          </w:tcPr>
          <w:p w14:paraId="0A3EAE43" w14:textId="77777777" w:rsidR="00BA07E4" w:rsidRDefault="00BA07E4" w:rsidP="00BA07E4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萬泰銖</w:t>
            </w:r>
          </w:p>
        </w:tc>
      </w:tr>
      <w:tr w:rsidR="00BA07E4" w:rsidRPr="00C6031B" w14:paraId="3A19CCBE" w14:textId="77777777" w:rsidTr="00BA07E4">
        <w:tc>
          <w:tcPr>
            <w:tcW w:w="1265" w:type="dxa"/>
          </w:tcPr>
          <w:p w14:paraId="77D2D774" w14:textId="77777777" w:rsidR="00BA07E4" w:rsidRDefault="00BA07E4" w:rsidP="00BA07E4">
            <w:r>
              <w:rPr>
                <w:rFonts w:hint="eastAsia"/>
              </w:rPr>
              <w:t>設備</w:t>
            </w:r>
          </w:p>
        </w:tc>
        <w:tc>
          <w:tcPr>
            <w:tcW w:w="7025" w:type="dxa"/>
          </w:tcPr>
          <w:p w14:paraId="6EA080CA" w14:textId="77777777" w:rsidR="00BA07E4" w:rsidRDefault="00BA07E4" w:rsidP="00BA07E4">
            <w:r>
              <w:rPr>
                <w:rFonts w:hint="eastAsia"/>
              </w:rPr>
              <w:t>課桌椅：約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萬泰銖</w:t>
            </w:r>
          </w:p>
          <w:p w14:paraId="1E79A4C5" w14:textId="77777777" w:rsidR="00BA07E4" w:rsidRDefault="00BA07E4" w:rsidP="00BA07E4">
            <w:r>
              <w:rPr>
                <w:rFonts w:hint="eastAsia"/>
              </w:rPr>
              <w:t>冷氣：約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萬泰銖</w:t>
            </w:r>
          </w:p>
          <w:p w14:paraId="3BB2D5E2" w14:textId="77777777" w:rsidR="00BA07E4" w:rsidRDefault="00BA07E4" w:rsidP="00BA07E4">
            <w:r w:rsidRPr="00C6031B">
              <w:rPr>
                <w:rFonts w:hint="eastAsia"/>
              </w:rPr>
              <w:t>防盜</w:t>
            </w:r>
            <w:r>
              <w:rPr>
                <w:rFonts w:hint="eastAsia"/>
              </w:rPr>
              <w:t>、</w:t>
            </w:r>
            <w:r w:rsidRPr="00C6031B">
              <w:rPr>
                <w:rFonts w:hint="eastAsia"/>
              </w:rPr>
              <w:t>基本辦公桌</w:t>
            </w:r>
            <w:r>
              <w:rPr>
                <w:rFonts w:hint="eastAsia"/>
              </w:rPr>
              <w:t>、櫃子：</w:t>
            </w:r>
            <w:r w:rsidRPr="00C6031B"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 w:rsidRPr="00C6031B">
              <w:rPr>
                <w:rFonts w:hint="eastAsia"/>
              </w:rPr>
              <w:t>萬</w:t>
            </w:r>
            <w:r>
              <w:rPr>
                <w:rFonts w:hint="eastAsia"/>
              </w:rPr>
              <w:t>泰銖</w:t>
            </w:r>
          </w:p>
          <w:p w14:paraId="56C42168" w14:textId="77777777" w:rsidR="00BA07E4" w:rsidRDefault="00BA07E4" w:rsidP="00BA07E4">
            <w:r>
              <w:rPr>
                <w:rFonts w:hint="eastAsia"/>
              </w:rPr>
              <w:t>三</w:t>
            </w:r>
            <w:r w:rsidRPr="00C6031B">
              <w:rPr>
                <w:rFonts w:hint="eastAsia"/>
              </w:rPr>
              <w:t>台電腦</w:t>
            </w:r>
            <w:r>
              <w:rPr>
                <w:rFonts w:hint="eastAsia"/>
              </w:rPr>
              <w:t>、</w:t>
            </w:r>
            <w:r w:rsidRPr="00C6031B">
              <w:rPr>
                <w:rFonts w:hint="eastAsia"/>
              </w:rPr>
              <w:t>影印機</w:t>
            </w:r>
            <w:r>
              <w:rPr>
                <w:rFonts w:hint="eastAsia"/>
              </w:rPr>
              <w:t>、</w:t>
            </w:r>
            <w:r w:rsidRPr="00C6031B">
              <w:rPr>
                <w:rFonts w:hint="eastAsia"/>
              </w:rPr>
              <w:t>傳真機</w:t>
            </w:r>
            <w:r>
              <w:rPr>
                <w:rFonts w:hint="eastAsia"/>
              </w:rPr>
              <w:t>、</w:t>
            </w:r>
            <w:r w:rsidRPr="00C6031B">
              <w:rPr>
                <w:rFonts w:hint="eastAsia"/>
              </w:rPr>
              <w:t>印表機</w:t>
            </w:r>
            <w:r>
              <w:rPr>
                <w:rFonts w:hint="eastAsia"/>
              </w:rPr>
              <w:t>：</w:t>
            </w:r>
            <w:r w:rsidRPr="00C6031B">
              <w:rPr>
                <w:rFonts w:hint="eastAsia"/>
              </w:rPr>
              <w:t>約</w:t>
            </w:r>
            <w:r>
              <w:rPr>
                <w:rFonts w:hint="eastAsia"/>
              </w:rPr>
              <w:t>15</w:t>
            </w:r>
            <w:r w:rsidRPr="00C6031B">
              <w:rPr>
                <w:rFonts w:hint="eastAsia"/>
              </w:rPr>
              <w:t>萬</w:t>
            </w:r>
            <w:r>
              <w:rPr>
                <w:rFonts w:hint="eastAsia"/>
              </w:rPr>
              <w:t>泰銖</w:t>
            </w:r>
          </w:p>
          <w:p w14:paraId="3D42789C" w14:textId="77777777" w:rsidR="00BA07E4" w:rsidRPr="00C6031B" w:rsidRDefault="00BA07E4" w:rsidP="00BA07E4">
            <w:r w:rsidRPr="00C6031B">
              <w:rPr>
                <w:rFonts w:hint="eastAsia"/>
              </w:rPr>
              <w:t>消防設備及系統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：約</w:t>
            </w:r>
            <w:r w:rsidRPr="00C6031B">
              <w:rPr>
                <w:rFonts w:hint="eastAsia"/>
              </w:rPr>
              <w:t>3-5</w:t>
            </w:r>
            <w:r w:rsidRPr="00C6031B">
              <w:rPr>
                <w:rFonts w:hint="eastAsia"/>
              </w:rPr>
              <w:t>萬</w:t>
            </w:r>
            <w:r>
              <w:rPr>
                <w:rFonts w:hint="eastAsia"/>
              </w:rPr>
              <w:t>泰銖</w:t>
            </w:r>
          </w:p>
        </w:tc>
      </w:tr>
      <w:tr w:rsidR="00BA07E4" w14:paraId="4D29908C" w14:textId="77777777" w:rsidTr="00BA07E4">
        <w:tc>
          <w:tcPr>
            <w:tcW w:w="1265" w:type="dxa"/>
          </w:tcPr>
          <w:p w14:paraId="0AD06739" w14:textId="77777777" w:rsidR="00BA07E4" w:rsidRPr="006D4859" w:rsidRDefault="00BA07E4" w:rsidP="00BA07E4">
            <w:r>
              <w:rPr>
                <w:rFonts w:hint="eastAsia"/>
              </w:rPr>
              <w:t>水電費</w:t>
            </w:r>
          </w:p>
        </w:tc>
        <w:tc>
          <w:tcPr>
            <w:tcW w:w="7025" w:type="dxa"/>
          </w:tcPr>
          <w:p w14:paraId="7814B325" w14:textId="77777777" w:rsidR="00BA07E4" w:rsidRDefault="00BA07E4" w:rsidP="00BA07E4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萬泰珠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BA07E4" w14:paraId="012169C0" w14:textId="77777777" w:rsidTr="00BA07E4">
        <w:tc>
          <w:tcPr>
            <w:tcW w:w="1265" w:type="dxa"/>
          </w:tcPr>
          <w:p w14:paraId="4E9B194F" w14:textId="77777777" w:rsidR="00BA07E4" w:rsidRDefault="00BA07E4" w:rsidP="00BA07E4">
            <w:r>
              <w:rPr>
                <w:rFonts w:hint="eastAsia"/>
              </w:rPr>
              <w:t>人事成本</w:t>
            </w:r>
          </w:p>
        </w:tc>
        <w:tc>
          <w:tcPr>
            <w:tcW w:w="7025" w:type="dxa"/>
          </w:tcPr>
          <w:p w14:paraId="2F26CC5C" w14:textId="77777777" w:rsidR="00BA07E4" w:rsidRDefault="00BA07E4" w:rsidP="00BA07E4">
            <w:r>
              <w:rPr>
                <w:rFonts w:hint="eastAsia"/>
              </w:rPr>
              <w:t>欲聘五位教師，每位教師薪水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萬泰銖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14:paraId="7E7AA508" w14:textId="77777777" w:rsidR="00BA07E4" w:rsidRDefault="00BA07E4" w:rsidP="00BA07E4">
            <w:r>
              <w:rPr>
                <w:rFonts w:hint="eastAsia"/>
              </w:rPr>
              <w:t>欲聘一位行政，行政薪水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萬泰銖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14:paraId="421A2C47" w14:textId="77777777" w:rsidR="00BA07E4" w:rsidRDefault="00BA07E4" w:rsidP="00BA07E4">
            <w:r>
              <w:rPr>
                <w:rFonts w:hint="eastAsia"/>
              </w:rPr>
              <w:t>因此人事成本共</w:t>
            </w:r>
            <w:r>
              <w:rPr>
                <w:rFonts w:hint="eastAsia"/>
              </w:rPr>
              <w:t>17.2</w:t>
            </w:r>
            <w:r>
              <w:rPr>
                <w:rFonts w:hint="eastAsia"/>
              </w:rPr>
              <w:t>萬泰銖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  <w:tr w:rsidR="00BA07E4" w:rsidRPr="00311BC2" w14:paraId="202ECC65" w14:textId="77777777" w:rsidTr="00BA07E4">
        <w:tc>
          <w:tcPr>
            <w:tcW w:w="1265" w:type="dxa"/>
          </w:tcPr>
          <w:p w14:paraId="79E2A8F0" w14:textId="77777777" w:rsidR="00BA07E4" w:rsidRPr="006D4859" w:rsidRDefault="00BA07E4" w:rsidP="00BA07E4">
            <w:r>
              <w:rPr>
                <w:rFonts w:hint="eastAsia"/>
              </w:rPr>
              <w:t>總額</w:t>
            </w:r>
          </w:p>
        </w:tc>
        <w:tc>
          <w:tcPr>
            <w:tcW w:w="7025" w:type="dxa"/>
          </w:tcPr>
          <w:p w14:paraId="0777F641" w14:textId="77777777" w:rsidR="00BA07E4" w:rsidRPr="00311BC2" w:rsidRDefault="00BA07E4" w:rsidP="00BA07E4">
            <w:r>
              <w:rPr>
                <w:rFonts w:hint="eastAsia"/>
              </w:rPr>
              <w:t>在泰國開創公司至少需準備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萬泰銖的資金，因此，若以前三個月為準備期，應準備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萬泰銖的資本，其中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萬泰銖為營運初期之週轉金。</w:t>
            </w:r>
          </w:p>
        </w:tc>
      </w:tr>
    </w:tbl>
    <w:p w14:paraId="59299EE9" w14:textId="2328842C" w:rsidR="00BA07E4" w:rsidRPr="00732D96" w:rsidRDefault="00881153" w:rsidP="00BA07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BA07E4" w:rsidRPr="00732D96">
        <w:rPr>
          <w:rFonts w:hint="eastAsia"/>
          <w:b/>
          <w:sz w:val="28"/>
          <w:szCs w:val="28"/>
        </w:rPr>
        <w:t>成本預算</w:t>
      </w:r>
    </w:p>
    <w:p w14:paraId="758D6B2E" w14:textId="77777777" w:rsidR="00732D96" w:rsidRDefault="00732D96" w:rsidP="00732D96">
      <w:pPr>
        <w:rPr>
          <w:b/>
          <w:sz w:val="28"/>
          <w:szCs w:val="28"/>
        </w:rPr>
      </w:pPr>
    </w:p>
    <w:p w14:paraId="763E1B5F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47AD0BF0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54AFDCEA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79BAD7F8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0FFC3291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592CA6B0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210388C1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1FA20D49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26E473B3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25376D20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5A6228F5" w14:textId="77777777" w:rsidR="00881153" w:rsidRDefault="00881153" w:rsidP="00916AE6">
      <w:pPr>
        <w:jc w:val="center"/>
        <w:rPr>
          <w:rFonts w:hint="eastAsia"/>
          <w:b/>
          <w:sz w:val="28"/>
          <w:szCs w:val="28"/>
        </w:rPr>
      </w:pPr>
    </w:p>
    <w:p w14:paraId="22094444" w14:textId="2761931E" w:rsidR="00916AE6" w:rsidRDefault="00881153" w:rsidP="00916A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916AE6" w:rsidRPr="00916AE6">
        <w:rPr>
          <w:b/>
          <w:sz w:val="28"/>
          <w:szCs w:val="28"/>
        </w:rPr>
        <w:t>預估收入</w:t>
      </w:r>
    </w:p>
    <w:p w14:paraId="198D6361" w14:textId="77777777" w:rsidR="00916AE6" w:rsidRPr="00916AE6" w:rsidRDefault="00916AE6" w:rsidP="00916AE6">
      <w:pPr>
        <w:jc w:val="center"/>
        <w:rPr>
          <w:b/>
          <w:sz w:val="28"/>
          <w:szCs w:val="28"/>
        </w:rPr>
      </w:pPr>
    </w:p>
    <w:p w14:paraId="588C9B06" w14:textId="77777777" w:rsidR="00916AE6" w:rsidRDefault="00916AE6" w:rsidP="00916AE6">
      <w:r>
        <w:t>共分為兩種課程：一對一課程與一對五課程</w:t>
      </w:r>
    </w:p>
    <w:p w14:paraId="0E3BB22C" w14:textId="77777777" w:rsidR="00916AE6" w:rsidRDefault="00916AE6" w:rsidP="00916AE6"/>
    <w:p w14:paraId="25242978" w14:textId="77777777" w:rsidR="00916AE6" w:rsidRDefault="00916AE6" w:rsidP="00916AE6">
      <w:r>
        <w:rPr>
          <w:rFonts w:hint="eastAsia"/>
        </w:rPr>
        <w:t>一、</w:t>
      </w:r>
      <w:r>
        <w:t>一對一課程</w:t>
      </w:r>
    </w:p>
    <w:p w14:paraId="7757B6D5" w14:textId="77777777" w:rsidR="00916AE6" w:rsidRDefault="00916AE6" w:rsidP="00916AE6">
      <w:r>
        <w:t>1.</w:t>
      </w:r>
      <w:r>
        <w:t>學費：一小時</w:t>
      </w:r>
      <w:r>
        <w:t>500</w:t>
      </w:r>
      <w:r>
        <w:t>泰銖，一次課程兩小時，共</w:t>
      </w:r>
      <w:r>
        <w:t>1000</w:t>
      </w:r>
      <w:r>
        <w:t>泰銖</w:t>
      </w:r>
    </w:p>
    <w:p w14:paraId="7B0E0C33" w14:textId="77777777" w:rsidR="00916AE6" w:rsidRDefault="00916AE6" w:rsidP="00916AE6">
      <w:r>
        <w:t>2.</w:t>
      </w:r>
      <w:r>
        <w:rPr>
          <w:rFonts w:hint="eastAsia"/>
        </w:rPr>
        <w:t>課程時間</w:t>
      </w:r>
      <w:r>
        <w:t>：週二至週日早上與下午，由學生選擇一至兩個時段</w:t>
      </w:r>
      <w:r>
        <w:rPr>
          <w:rFonts w:hint="eastAsia"/>
        </w:rPr>
        <w:t>上課</w:t>
      </w:r>
      <w:r>
        <w:t>。</w:t>
      </w:r>
    </w:p>
    <w:p w14:paraId="64F7066C" w14:textId="77777777" w:rsidR="00916AE6" w:rsidRDefault="00916AE6" w:rsidP="00916AE6">
      <w:r>
        <w:t>3.</w:t>
      </w:r>
      <w:r>
        <w:t>預計收入：週二至週日的早上與下午共</w:t>
      </w:r>
      <w:r>
        <w:t>12</w:t>
      </w:r>
      <w:r>
        <w:t>個時段，五位老師</w:t>
      </w:r>
      <w:r>
        <w:rPr>
          <w:rFonts w:hint="eastAsia"/>
        </w:rPr>
        <w:t>皆</w:t>
      </w:r>
      <w:r>
        <w:t>授課，</w:t>
      </w:r>
      <w:r>
        <w:rPr>
          <w:rFonts w:hint="eastAsia"/>
        </w:rPr>
        <w:t>學費</w:t>
      </w:r>
      <w:r>
        <w:t>共計</w:t>
      </w:r>
      <w:r>
        <w:t>60000</w:t>
      </w:r>
      <w:r>
        <w:t>泰銖</w:t>
      </w:r>
    </w:p>
    <w:p w14:paraId="232EF516" w14:textId="77777777" w:rsidR="00916AE6" w:rsidRDefault="00916AE6" w:rsidP="00916AE6"/>
    <w:p w14:paraId="73BE4DD9" w14:textId="77777777" w:rsidR="00916AE6" w:rsidRDefault="00916AE6" w:rsidP="00916AE6">
      <w:r>
        <w:rPr>
          <w:rFonts w:hint="eastAsia"/>
        </w:rPr>
        <w:t>二、</w:t>
      </w:r>
      <w:r>
        <w:t>一對五課程</w:t>
      </w:r>
    </w:p>
    <w:p w14:paraId="66BD7E42" w14:textId="77777777" w:rsidR="00916AE6" w:rsidRDefault="00916AE6" w:rsidP="00916AE6">
      <w:r>
        <w:t>1.</w:t>
      </w:r>
      <w:r>
        <w:t>學費：一小時</w:t>
      </w:r>
      <w:r>
        <w:t>200</w:t>
      </w:r>
      <w:r>
        <w:t>泰銖，一次課程兩小時，一位學生共</w:t>
      </w:r>
      <w:r>
        <w:t>400</w:t>
      </w:r>
      <w:r>
        <w:t>泰銖，五位學生共</w:t>
      </w:r>
      <w:r>
        <w:t>2000</w:t>
      </w:r>
      <w:r>
        <w:t>泰銖</w:t>
      </w:r>
    </w:p>
    <w:p w14:paraId="0EA190B5" w14:textId="77777777" w:rsidR="00916AE6" w:rsidRDefault="00916AE6" w:rsidP="00916AE6">
      <w:r>
        <w:t>2.</w:t>
      </w:r>
      <w:r>
        <w:t>課程時間：週二至週日晚上</w:t>
      </w:r>
    </w:p>
    <w:p w14:paraId="6739245A" w14:textId="77777777" w:rsidR="00916AE6" w:rsidRDefault="00916AE6" w:rsidP="00916AE6">
      <w:r>
        <w:t>3.</w:t>
      </w:r>
      <w:r>
        <w:t>預計收入：週二至週日晚上共</w:t>
      </w:r>
      <w:r>
        <w:t>6</w:t>
      </w:r>
      <w:r>
        <w:t>個時段，五位老師</w:t>
      </w:r>
      <w:r>
        <w:rPr>
          <w:rFonts w:hint="eastAsia"/>
        </w:rPr>
        <w:t>皆授</w:t>
      </w:r>
      <w:r>
        <w:t>課，學費共</w:t>
      </w:r>
      <w:r>
        <w:t>60000</w:t>
      </w:r>
      <w:r>
        <w:t>泰銖</w:t>
      </w:r>
    </w:p>
    <w:p w14:paraId="5B7D222F" w14:textId="77777777" w:rsidR="00916AE6" w:rsidRDefault="00916AE6" w:rsidP="00916AE6"/>
    <w:p w14:paraId="16347E2B" w14:textId="77777777" w:rsidR="00916AE6" w:rsidRDefault="00916AE6" w:rsidP="00916AE6">
      <w:r>
        <w:rPr>
          <w:rFonts w:hint="eastAsia"/>
        </w:rPr>
        <w:t>三</w:t>
      </w:r>
      <w:r>
        <w:t>、總和</w:t>
      </w:r>
    </w:p>
    <w:p w14:paraId="76D8F98E" w14:textId="77777777" w:rsidR="00916AE6" w:rsidRDefault="00916AE6" w:rsidP="00916AE6">
      <w:r>
        <w:rPr>
          <w:rFonts w:hint="eastAsia"/>
        </w:rPr>
        <w:t>一對一課程單週</w:t>
      </w:r>
      <w:r>
        <w:t>收入</w:t>
      </w:r>
      <w:r>
        <w:t>60000</w:t>
      </w:r>
      <w:r>
        <w:t>泰銖，四週收入</w:t>
      </w:r>
      <w:r>
        <w:t>240000</w:t>
      </w:r>
      <w:r>
        <w:t>泰銖；一對五課程單週收入</w:t>
      </w:r>
      <w:r>
        <w:t>60000</w:t>
      </w:r>
      <w:r>
        <w:t>泰銖，四週收入</w:t>
      </w:r>
      <w:r>
        <w:t>240000</w:t>
      </w:r>
      <w:r>
        <w:t>泰銖，共計</w:t>
      </w:r>
      <w:r>
        <w:t>480000</w:t>
      </w:r>
      <w:r>
        <w:t>泰銖。</w:t>
      </w:r>
    </w:p>
    <w:p w14:paraId="7CEAB6CA" w14:textId="77777777" w:rsidR="00916AE6" w:rsidRDefault="00916AE6" w:rsidP="00916AE6">
      <w:r>
        <w:rPr>
          <w:rFonts w:hint="eastAsia"/>
        </w:rPr>
        <w:t>四</w:t>
      </w:r>
      <w:r>
        <w:t>、預計淨收入</w:t>
      </w:r>
    </w:p>
    <w:p w14:paraId="53736D7A" w14:textId="77777777" w:rsidR="00916AE6" w:rsidRDefault="00916AE6" w:rsidP="00916AE6">
      <w:r>
        <w:rPr>
          <w:rFonts w:hint="eastAsia"/>
        </w:rPr>
        <w:t>1.</w:t>
      </w:r>
      <w:r>
        <w:t>首月收入</w:t>
      </w:r>
      <w:r>
        <w:t>480000</w:t>
      </w:r>
      <w:r>
        <w:t>泰銖扣除開業首月成本（不含預備金、週轉金）</w:t>
      </w:r>
      <w:r>
        <w:t>1232000</w:t>
      </w:r>
      <w:r>
        <w:t>泰銖，為</w:t>
      </w:r>
      <w:r>
        <w:t>-752000</w:t>
      </w:r>
      <w:r>
        <w:t>泰銖，預計開業後第三個月淨收入可為正</w:t>
      </w:r>
      <w:r>
        <w:rPr>
          <w:rFonts w:hint="eastAsia"/>
        </w:rPr>
        <w:t>，</w:t>
      </w:r>
      <w:r>
        <w:t>第四月以後淨收入為</w:t>
      </w:r>
      <w:r>
        <w:t>228000</w:t>
      </w:r>
      <w:r>
        <w:t>泰銖。</w:t>
      </w:r>
    </w:p>
    <w:p w14:paraId="55726E96" w14:textId="77777777" w:rsidR="00916AE6" w:rsidRPr="001128D6" w:rsidRDefault="00916AE6" w:rsidP="00732D96">
      <w:pPr>
        <w:rPr>
          <w:b/>
          <w:sz w:val="28"/>
          <w:szCs w:val="28"/>
        </w:rPr>
      </w:pPr>
    </w:p>
    <w:p w14:paraId="02CA3206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21EDBCB0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86C81BC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5B9D2F4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4DEA352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5C2C61F8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2DB7577D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6DA41B91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4BC27C9E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7B8035F9" w14:textId="24C15188" w:rsidR="00732D96" w:rsidRPr="00732D96" w:rsidRDefault="00881153" w:rsidP="00732D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732D96" w:rsidRPr="00732D96">
        <w:rPr>
          <w:b/>
          <w:sz w:val="28"/>
          <w:szCs w:val="28"/>
        </w:rPr>
        <w:t>開班制度</w:t>
      </w:r>
    </w:p>
    <w:p w14:paraId="0529EA95" w14:textId="77777777" w:rsidR="00732D96" w:rsidRPr="00732D96" w:rsidRDefault="00732D96" w:rsidP="00732D96">
      <w:pPr>
        <w:pStyle w:val="a5"/>
        <w:ind w:leftChars="0"/>
        <w:jc w:val="center"/>
        <w:rPr>
          <w:b/>
          <w:sz w:val="28"/>
          <w:szCs w:val="28"/>
        </w:rPr>
      </w:pPr>
    </w:p>
    <w:p w14:paraId="7688075C" w14:textId="7DAD46C0" w:rsidR="00732D96" w:rsidRPr="00916AE6" w:rsidRDefault="00732D96" w:rsidP="00732D96">
      <w:pPr>
        <w:pStyle w:val="a5"/>
        <w:numPr>
          <w:ilvl w:val="0"/>
          <w:numId w:val="1"/>
        </w:numPr>
        <w:ind w:leftChars="0"/>
      </w:pPr>
      <w:r w:rsidRPr="00916AE6">
        <w:t>小班制（一般五名學生）</w:t>
      </w:r>
      <w:r w:rsidRPr="00916AE6">
        <w:t xml:space="preserve"> </w:t>
      </w:r>
    </w:p>
    <w:p w14:paraId="6AD181CA" w14:textId="77777777" w:rsidR="00732D96" w:rsidRPr="00916AE6" w:rsidRDefault="00732D96" w:rsidP="00732D96">
      <w:r w:rsidRPr="00916AE6">
        <w:t>語言中心預計將教學內容設定為漢語考試</w:t>
      </w:r>
      <w:r w:rsidRPr="00916AE6">
        <w:t>HSK</w:t>
      </w:r>
      <w:r w:rsidRPr="00916AE6">
        <w:t>，並針對考試難度（初級、中級、高級）</w:t>
      </w:r>
      <w:r w:rsidRPr="00916AE6">
        <w:rPr>
          <w:rFonts w:hint="eastAsia"/>
        </w:rPr>
        <w:t>開設</w:t>
      </w:r>
      <w:r w:rsidRPr="00916AE6">
        <w:t>口試班與</w:t>
      </w:r>
      <w:r w:rsidRPr="00916AE6">
        <w:rPr>
          <w:rFonts w:hint="eastAsia"/>
        </w:rPr>
        <w:t>寫作班</w:t>
      </w:r>
      <w:r w:rsidRPr="00916AE6">
        <w:t>。</w:t>
      </w:r>
      <w:r w:rsidRPr="00916AE6">
        <w:rPr>
          <w:rFonts w:hint="eastAsia"/>
        </w:rPr>
        <w:t>入學前</w:t>
      </w:r>
      <w:r w:rsidRPr="00916AE6">
        <w:t>，會先為學生測試基本漢語語言能力程度，在測試</w:t>
      </w:r>
      <w:r w:rsidRPr="00916AE6">
        <w:rPr>
          <w:rFonts w:hint="eastAsia"/>
        </w:rPr>
        <w:t>後</w:t>
      </w:r>
      <w:r w:rsidRPr="00916AE6">
        <w:t>與學生討論目標考試級數，並為學生安排班級</w:t>
      </w:r>
      <w:r w:rsidRPr="00916AE6">
        <w:rPr>
          <w:rFonts w:hint="eastAsia"/>
        </w:rPr>
        <w:t>。</w:t>
      </w:r>
    </w:p>
    <w:p w14:paraId="026D1122" w14:textId="77777777" w:rsidR="00732D96" w:rsidRPr="00916AE6" w:rsidRDefault="00732D96" w:rsidP="00732D96"/>
    <w:p w14:paraId="2D36E473" w14:textId="77777777" w:rsidR="00732D96" w:rsidRPr="00916AE6" w:rsidRDefault="00732D96" w:rsidP="00732D96">
      <w:pPr>
        <w:pStyle w:val="a5"/>
        <w:numPr>
          <w:ilvl w:val="0"/>
          <w:numId w:val="1"/>
        </w:numPr>
        <w:ind w:leftChars="0"/>
      </w:pPr>
      <w:r w:rsidRPr="00916AE6">
        <w:rPr>
          <w:rFonts w:hint="eastAsia"/>
        </w:rPr>
        <w:t>一對一上課制</w:t>
      </w:r>
    </w:p>
    <w:p w14:paraId="730728AA" w14:textId="77777777" w:rsidR="00BA07E4" w:rsidRDefault="00732D96" w:rsidP="00732D96">
      <w:pPr>
        <w:rPr>
          <w:sz w:val="28"/>
          <w:szCs w:val="28"/>
        </w:rPr>
      </w:pPr>
      <w:r w:rsidRPr="00916AE6">
        <w:t>一對一上課是對於短期內立即</w:t>
      </w:r>
      <w:r w:rsidRPr="00916AE6">
        <w:rPr>
          <w:rFonts w:hint="eastAsia"/>
        </w:rPr>
        <w:t>面對</w:t>
      </w:r>
      <w:r w:rsidRPr="00916AE6">
        <w:t>考試的考生設立的一對一上課制度。也是能讓學生漢語能力級數在短時間內急速竄高方法，藉由</w:t>
      </w:r>
      <w:r w:rsidRPr="00916AE6">
        <w:rPr>
          <w:rFonts w:hint="eastAsia"/>
        </w:rPr>
        <w:t>密集</w:t>
      </w:r>
      <w:r w:rsidRPr="00916AE6">
        <w:t>且一對一教學吸收度高的方法幫助學生拿下檢定考的證書</w:t>
      </w:r>
      <w:r w:rsidRPr="00916AE6">
        <w:rPr>
          <w:rFonts w:hint="eastAsia"/>
        </w:rPr>
        <w:t>。</w:t>
      </w:r>
      <w:r>
        <w:rPr>
          <w:sz w:val="28"/>
          <w:szCs w:val="28"/>
        </w:rPr>
        <w:t xml:space="preserve"> </w:t>
      </w:r>
      <w:r w:rsidR="00BA07E4">
        <w:rPr>
          <w:sz w:val="28"/>
          <w:szCs w:val="28"/>
        </w:rPr>
        <w:t xml:space="preserve"> </w:t>
      </w:r>
    </w:p>
    <w:p w14:paraId="0B0E0413" w14:textId="74AFEBEE" w:rsidR="00732D96" w:rsidRPr="00732D96" w:rsidRDefault="00732D96" w:rsidP="00732D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F338572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769374A0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1EE150A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75A9DE4C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0C1F642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7C110423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3D89B77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7D0FBAD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4753CE59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75201681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6B0C3B76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4F520D96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9E006BD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426F52EE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43CD5F3C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8CB546B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6B725B9E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D31B8EF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790581B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1790CEE4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295DB475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0AE0A5C1" w14:textId="77777777" w:rsidR="00881153" w:rsidRDefault="00881153" w:rsidP="00732D96">
      <w:pPr>
        <w:jc w:val="center"/>
        <w:rPr>
          <w:rFonts w:hint="eastAsia"/>
          <w:b/>
          <w:sz w:val="28"/>
          <w:szCs w:val="28"/>
        </w:rPr>
      </w:pPr>
    </w:p>
    <w:p w14:paraId="33BEF8E3" w14:textId="674387E5" w:rsidR="00732D96" w:rsidRDefault="00881153" w:rsidP="00732D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732D96" w:rsidRPr="001128D6">
        <w:rPr>
          <w:b/>
          <w:sz w:val="28"/>
          <w:szCs w:val="28"/>
        </w:rPr>
        <w:t>目標教學內容</w:t>
      </w:r>
    </w:p>
    <w:p w14:paraId="405EE7D8" w14:textId="77777777" w:rsidR="00732D96" w:rsidRPr="00916AE6" w:rsidRDefault="00732D96" w:rsidP="00732D96">
      <w:pPr>
        <w:jc w:val="center"/>
        <w:rPr>
          <w:rFonts w:asciiTheme="majorEastAsia" w:eastAsiaTheme="majorEastAsia" w:hAnsiTheme="majorEastAsia"/>
          <w:b/>
        </w:rPr>
      </w:pPr>
      <w:r w:rsidRPr="00916AE6">
        <w:rPr>
          <w:rFonts w:asciiTheme="majorEastAsia" w:eastAsiaTheme="majorEastAsia" w:hAnsiTheme="majorEastAsia"/>
        </w:rPr>
        <w:t>HSK漢語能力考試各級內容，</w:t>
      </w:r>
      <w:r w:rsidRPr="00916AE6">
        <w:rPr>
          <w:rFonts w:asciiTheme="majorEastAsia" w:eastAsiaTheme="majorEastAsia" w:hAnsiTheme="majorEastAsia" w:hint="eastAsia"/>
        </w:rPr>
        <w:t>包括</w:t>
      </w:r>
      <w:r w:rsidRPr="00916AE6">
        <w:rPr>
          <w:rFonts w:asciiTheme="majorEastAsia" w:eastAsiaTheme="majorEastAsia" w:hAnsiTheme="majorEastAsia"/>
        </w:rPr>
        <w:t>口試、筆試與寫作班</w:t>
      </w:r>
    </w:p>
    <w:p w14:paraId="13F118F8" w14:textId="77777777" w:rsidR="00732D96" w:rsidRPr="00916AE6" w:rsidRDefault="00732D96" w:rsidP="00732D96">
      <w:pPr>
        <w:rPr>
          <w:rFonts w:asciiTheme="majorEastAsia" w:eastAsiaTheme="majorEastAsia" w:hAnsiTheme="majorEastAsia"/>
        </w:rPr>
      </w:pPr>
      <w:r w:rsidRPr="00916AE6">
        <w:rPr>
          <w:rFonts w:asciiTheme="majorEastAsia" w:eastAsiaTheme="majorEastAsia" w:hAnsiTheme="majorEastAsia"/>
        </w:rPr>
        <w:t>以下為HSK漢語能力考試各級通過要求標準（取自HSK漢語能力考試官網）</w:t>
      </w:r>
    </w:p>
    <w:p w14:paraId="2357B138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 w:rsidRPr="00F96C17">
        <w:rPr>
          <w:rFonts w:ascii="TimesNewRomanPSMT" w:hAnsi="TimesNewRomanPSMT" w:cs="TimesNewRomanPSMT"/>
          <w:lang w:eastAsia="zh-CN"/>
        </w:rPr>
        <w:t>HSK</w:t>
      </w:r>
      <w:r w:rsidRPr="00F96C17">
        <w:rPr>
          <w:rFonts w:ascii="SimSun" w:eastAsia="SimSun" w:hAnsi="SimSun" w:hint="eastAsia"/>
          <w:lang w:eastAsia="zh-CN"/>
        </w:rPr>
        <w:t>(一级)</w:t>
      </w:r>
      <w:r>
        <w:rPr>
          <w:rFonts w:ascii="SimSun" w:eastAsia="SimSun" w:hAnsi="SimSun" w:hint="eastAsia"/>
          <w:lang w:eastAsia="zh-CN"/>
        </w:rPr>
        <w:t xml:space="preserve">的考生可以理解并使用一些非常简单的汉语词语和句子, 满足具体的交际需求,具备进一步学习汉语的能力。 </w:t>
      </w:r>
    </w:p>
    <w:p w14:paraId="763683FD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>
        <w:rPr>
          <w:rFonts w:ascii="TimesNewRomanPSMT" w:hAnsi="TimesNewRomanPSMT" w:cs="TimesNewRomanPSMT"/>
          <w:lang w:eastAsia="zh-CN"/>
        </w:rPr>
        <w:t>HSK</w:t>
      </w:r>
      <w:r>
        <w:rPr>
          <w:rFonts w:ascii="SimSun" w:eastAsia="SimSun" w:hAnsi="SimSun" w:hint="eastAsia"/>
          <w:lang w:eastAsia="zh-CN"/>
        </w:rPr>
        <w:t xml:space="preserve">(二级)的考生可以用汉语就熟悉的日常话题进行简单而直接的 交流,达到初级汉语优等水平。 </w:t>
      </w:r>
    </w:p>
    <w:p w14:paraId="2472682A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>
        <w:rPr>
          <w:rFonts w:ascii="TimesNewRomanPSMT" w:hAnsi="TimesNewRomanPSMT" w:cs="TimesNewRomanPSMT"/>
          <w:lang w:eastAsia="zh-CN"/>
        </w:rPr>
        <w:t>HSK</w:t>
      </w:r>
      <w:r>
        <w:rPr>
          <w:rFonts w:ascii="SimSun" w:eastAsia="SimSun" w:hAnsi="SimSun" w:hint="eastAsia"/>
          <w:lang w:eastAsia="zh-CN"/>
        </w:rPr>
        <w:t xml:space="preserve">(三级)的考生可以用汉语完成生活、学习、工作等方面的基本 交际任务,在中国旅游时,可应对遇到的大部分交际任务。 </w:t>
      </w:r>
    </w:p>
    <w:p w14:paraId="5412D26C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>
        <w:rPr>
          <w:rFonts w:ascii="TimesNewRomanPSMT" w:hAnsi="TimesNewRomanPSMT" w:cs="TimesNewRomanPSMT"/>
          <w:lang w:eastAsia="zh-CN"/>
        </w:rPr>
        <w:t>HSK</w:t>
      </w:r>
      <w:r>
        <w:rPr>
          <w:rFonts w:ascii="SimSun" w:eastAsia="SimSun" w:hAnsi="SimSun" w:hint="eastAsia"/>
          <w:lang w:eastAsia="zh-CN"/>
        </w:rPr>
        <w:t xml:space="preserve">(四级)的考生可以用汉语就较广泛领域的话题进行谈论,比较 流利地与汉语为母语者进行交流。 </w:t>
      </w:r>
    </w:p>
    <w:p w14:paraId="711F57CB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>
        <w:rPr>
          <w:rFonts w:ascii="TimesNewRomanPSMT" w:hAnsi="TimesNewRomanPSMT" w:cs="TimesNewRomanPSMT"/>
          <w:lang w:eastAsia="zh-CN"/>
        </w:rPr>
        <w:t>HSK</w:t>
      </w:r>
      <w:r>
        <w:rPr>
          <w:rFonts w:ascii="SimSun" w:eastAsia="SimSun" w:hAnsi="SimSun" w:hint="eastAsia"/>
          <w:lang w:eastAsia="zh-CN"/>
        </w:rPr>
        <w:t xml:space="preserve">(五级)的考生可以阅读汉语报刊杂志,欣赏汉语影视节目,用 汉语进行较为完整的演讲。 </w:t>
      </w:r>
    </w:p>
    <w:p w14:paraId="5A77E96D" w14:textId="77777777" w:rsidR="00732D96" w:rsidRDefault="00732D96" w:rsidP="00732D96">
      <w:pPr>
        <w:pStyle w:val="Web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通过 </w:t>
      </w:r>
      <w:r>
        <w:rPr>
          <w:rFonts w:ascii="TimesNewRomanPSMT" w:hAnsi="TimesNewRomanPSMT" w:cs="TimesNewRomanPSMT"/>
          <w:lang w:eastAsia="zh-CN"/>
        </w:rPr>
        <w:t>HSK</w:t>
      </w:r>
      <w:r>
        <w:rPr>
          <w:rFonts w:ascii="SimSun" w:eastAsia="SimSun" w:hAnsi="SimSun" w:hint="eastAsia"/>
          <w:lang w:eastAsia="zh-CN"/>
        </w:rPr>
        <w:t xml:space="preserve">(六级)的考生可以轻松地理解听到或读到的汉语信息,以口头 或书面的形式用汉语流利地表达自己的见解。 </w:t>
      </w:r>
    </w:p>
    <w:p w14:paraId="4542DCFA" w14:textId="77777777" w:rsidR="00732D96" w:rsidRPr="00916AE6" w:rsidRDefault="00732D96" w:rsidP="00732D96">
      <w:pPr>
        <w:jc w:val="center"/>
      </w:pPr>
      <w:r w:rsidRPr="00916AE6">
        <w:t>學院的目標教學內容</w:t>
      </w:r>
      <w:r w:rsidRPr="00916AE6">
        <w:rPr>
          <w:rFonts w:hint="eastAsia"/>
        </w:rPr>
        <w:t>：</w:t>
      </w:r>
    </w:p>
    <w:p w14:paraId="31244F9E" w14:textId="77777777" w:rsidR="00732D96" w:rsidRPr="00916AE6" w:rsidRDefault="00732D96" w:rsidP="00732D96">
      <w:pPr>
        <w:pStyle w:val="a5"/>
        <w:numPr>
          <w:ilvl w:val="0"/>
          <w:numId w:val="2"/>
        </w:numPr>
        <w:ind w:leftChars="0"/>
      </w:pPr>
      <w:r w:rsidRPr="00916AE6">
        <w:rPr>
          <w:rFonts w:hint="eastAsia"/>
        </w:rPr>
        <w:t>應試內容所需</w:t>
      </w:r>
      <w:r w:rsidRPr="00916AE6">
        <w:t>知識（</w:t>
      </w:r>
      <w:r w:rsidRPr="00916AE6">
        <w:rPr>
          <w:rFonts w:hint="eastAsia"/>
        </w:rPr>
        <w:t>根據上述</w:t>
      </w:r>
      <w:r w:rsidRPr="00916AE6">
        <w:t>各級以北語社</w:t>
      </w:r>
      <w:r w:rsidRPr="00916AE6">
        <w:rPr>
          <w:rFonts w:hint="eastAsia"/>
        </w:rPr>
        <w:t>發行</w:t>
      </w:r>
      <w:r w:rsidRPr="00916AE6">
        <w:t>《</w:t>
      </w:r>
      <w:r w:rsidRPr="00916AE6">
        <w:t>HSK</w:t>
      </w:r>
      <w:r w:rsidRPr="00916AE6">
        <w:t>標準教材》為主，教師彈性補充其他教材為輔）以下為教材參考內容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877"/>
        <w:gridCol w:w="4033"/>
      </w:tblGrid>
      <w:tr w:rsidR="00732D96" w14:paraId="48FCB633" w14:textId="77777777" w:rsidTr="00BF4B92">
        <w:trPr>
          <w:trHeight w:val="5183"/>
        </w:trPr>
        <w:tc>
          <w:tcPr>
            <w:tcW w:w="4145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</w:tcPr>
          <w:p w14:paraId="590F3059" w14:textId="77777777" w:rsidR="00732D96" w:rsidRDefault="00732D96" w:rsidP="00BF4B92">
            <w:pPr>
              <w:pStyle w:val="a5"/>
              <w:ind w:leftChars="0"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9F33D1" wp14:editId="0A939D90">
                  <wp:extent cx="2386116" cy="3253072"/>
                  <wp:effectExtent l="0" t="0" r="1905" b="0"/>
                  <wp:docPr id="1" name="圖片 1" descr="/Users/hsuchiehhsin/Desktop/8b21937a-5917-4f94-9eff-7e2153f4a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suchiehhsin/Desktop/8b21937a-5917-4f94-9eff-7e2153f4a4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66" cy="328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</w:tcPr>
          <w:p w14:paraId="36BE98E7" w14:textId="77777777" w:rsidR="00732D96" w:rsidRDefault="00732D96" w:rsidP="00BF4B92">
            <w:pPr>
              <w:pStyle w:val="a5"/>
              <w:ind w:leftChars="0"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105F79" wp14:editId="7B2B8DB4">
                  <wp:extent cx="2485022" cy="3113925"/>
                  <wp:effectExtent l="0" t="0" r="4445" b="10795"/>
                  <wp:docPr id="2" name="圖片 2" descr="/Users/hsuchiehhsin/Desktop/螢幕快照 2018-11-11 下午6.33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hsuchiehhsin/Desktop/螢幕快照 2018-11-11 下午6.33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806" cy="312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6AC07" w14:textId="77777777" w:rsidR="00732D96" w:rsidRPr="00916AE6" w:rsidRDefault="00732D96" w:rsidP="00732D96">
      <w:pPr>
        <w:pStyle w:val="a5"/>
        <w:ind w:leftChars="0" w:left="360"/>
      </w:pPr>
    </w:p>
    <w:p w14:paraId="296258CB" w14:textId="77777777" w:rsidR="00732D96" w:rsidRPr="00916AE6" w:rsidRDefault="00732D96" w:rsidP="00732D96">
      <w:pPr>
        <w:pStyle w:val="a5"/>
        <w:numPr>
          <w:ilvl w:val="0"/>
          <w:numId w:val="2"/>
        </w:numPr>
        <w:ind w:leftChars="0"/>
      </w:pPr>
      <w:r w:rsidRPr="00916AE6">
        <w:t>整學期考試（平日小考</w:t>
      </w:r>
      <w:r w:rsidRPr="00916AE6">
        <w:t>+</w:t>
      </w:r>
      <w:r w:rsidRPr="00916AE6">
        <w:t>期中</w:t>
      </w:r>
      <w:r w:rsidRPr="00916AE6">
        <w:rPr>
          <w:rFonts w:hint="eastAsia"/>
        </w:rPr>
        <w:t>考</w:t>
      </w:r>
      <w:r w:rsidRPr="00916AE6">
        <w:t>+</w:t>
      </w:r>
      <w:r w:rsidRPr="00916AE6">
        <w:t>考試全</w:t>
      </w:r>
      <w:r w:rsidRPr="00916AE6">
        <w:rPr>
          <w:rFonts w:hint="eastAsia"/>
        </w:rPr>
        <w:t>真</w:t>
      </w:r>
      <w:r w:rsidRPr="00916AE6">
        <w:t>模擬考試）</w:t>
      </w:r>
    </w:p>
    <w:p w14:paraId="2FE3DA21" w14:textId="327965AB" w:rsidR="00916AE6" w:rsidRPr="00881153" w:rsidRDefault="00732D96" w:rsidP="00881153">
      <w:pPr>
        <w:pStyle w:val="a5"/>
        <w:numPr>
          <w:ilvl w:val="0"/>
          <w:numId w:val="2"/>
        </w:numPr>
        <w:ind w:leftChars="0"/>
        <w:rPr>
          <w:rFonts w:hint="eastAsia"/>
        </w:rPr>
      </w:pPr>
      <w:r w:rsidRPr="00916AE6">
        <w:rPr>
          <w:rFonts w:hint="eastAsia"/>
        </w:rPr>
        <w:t>文化課</w:t>
      </w:r>
      <w:r w:rsidRPr="00916AE6">
        <w:t>（根據當學期上課內容，延伸中國文化手作或是藝能課程，課程彈性包括手作蒸包、中國國樂欣賞、編織中國結，等）</w:t>
      </w:r>
      <w:r w:rsidR="00916AE6">
        <w:t xml:space="preserve"> </w:t>
      </w:r>
    </w:p>
    <w:sectPr w:rsidR="00916AE6" w:rsidRPr="00881153" w:rsidSect="00DD75E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anziPen TC">
    <w:panose1 w:val="03000300000000000000"/>
    <w:charset w:val="88"/>
    <w:family w:val="auto"/>
    <w:pitch w:val="variable"/>
    <w:sig w:usb0="A00002FF" w:usb1="7ACF7CFB" w:usb2="00000016" w:usb3="00000000" w:csb0="001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23A0"/>
    <w:multiLevelType w:val="hybridMultilevel"/>
    <w:tmpl w:val="F0967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893161"/>
    <w:multiLevelType w:val="hybridMultilevel"/>
    <w:tmpl w:val="A9862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66679"/>
    <w:multiLevelType w:val="hybridMultilevel"/>
    <w:tmpl w:val="00B22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D5E53"/>
    <w:multiLevelType w:val="hybridMultilevel"/>
    <w:tmpl w:val="8E66489C"/>
    <w:lvl w:ilvl="0" w:tplc="7DE8C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D3"/>
    <w:rsid w:val="000146D3"/>
    <w:rsid w:val="00185208"/>
    <w:rsid w:val="00311BC2"/>
    <w:rsid w:val="00323F0B"/>
    <w:rsid w:val="003A30D7"/>
    <w:rsid w:val="00624CC0"/>
    <w:rsid w:val="006D4859"/>
    <w:rsid w:val="006E149B"/>
    <w:rsid w:val="00732D96"/>
    <w:rsid w:val="00881153"/>
    <w:rsid w:val="00916AE6"/>
    <w:rsid w:val="00BA07E4"/>
    <w:rsid w:val="00C27C4D"/>
    <w:rsid w:val="00C6031B"/>
    <w:rsid w:val="00DD75E0"/>
    <w:rsid w:val="00F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0C5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31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2D9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32D9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6">
    <w:name w:val="FollowedHyperlink"/>
    <w:basedOn w:val="a0"/>
    <w:uiPriority w:val="99"/>
    <w:semiHidden/>
    <w:unhideWhenUsed/>
    <w:rsid w:val="006E1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verseaschinese2008.blogspot.com/2009/03/blog-post_7554.html" TargetMode="External"/><Relationship Id="rId6" Type="http://schemas.openxmlformats.org/officeDocument/2006/relationships/hyperlink" Target="https://depart.moe.edu.tw/ED2500/cp.aspx?n=985B0E34256FDC9E&amp;s=3146119524BF3BF9" TargetMode="External"/><Relationship Id="rId7" Type="http://schemas.openxmlformats.org/officeDocument/2006/relationships/hyperlink" Target="https://reurl.cc/DgZGN" TargetMode="External"/><Relationship Id="rId8" Type="http://schemas.openxmlformats.org/officeDocument/2006/relationships/hyperlink" Target="http://g.58.com/j-glchiangmai/glxiezilou/33642346949633.html?PGTID=0d00ecdd-05fb-e6f8-04ee-e8a95f516126&amp;ClickID=1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9</cp:revision>
  <dcterms:created xsi:type="dcterms:W3CDTF">2018-11-10T13:46:00Z</dcterms:created>
  <dcterms:modified xsi:type="dcterms:W3CDTF">2018-11-29T10:15:00Z</dcterms:modified>
</cp:coreProperties>
</file>